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120" w:lineRule="auto"/>
        <w:ind w:left="0" w:firstLine="0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color w:val="4a86e8"/>
          <w:sz w:val="60"/>
          <w:szCs w:val="60"/>
          <w:rtl w:val="0"/>
        </w:rPr>
        <w:t xml:space="preserve">A FESTMÉNY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120" w:lineRule="auto"/>
        <w:ind w:left="0" w:firstLine="0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Válassz egy olyan festményt, fotót, amelyen valamilyen jelenet, személy látható! Írj egy olyan 1-2 oldalas szöveget, amely egyúttal teljesíti az alábbi feladatokat is!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120" w:lineRule="auto"/>
        <w:ind w:left="0" w:firstLine="0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120" w:lineRule="auto"/>
        <w:ind w:left="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1, Írd le, miről beszélgethetnek a képen szereplők!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2, Meséld el, hogy kerültek ide a képen látható alakok!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3, Fogalmazd meg, hogyan folytatódik a történet!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4, Mutasd be a képen látható alakot!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(5, Mutatkozz be a képen látható személy nevében!)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  <w:t xml:space="preserve">Az írás műfaja lehet novella, egyperces novella, újságcikk, regényrészlet. 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matic SC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maticSC-regular.ttf"/><Relationship Id="rId2" Type="http://schemas.openxmlformats.org/officeDocument/2006/relationships/font" Target="fonts/AmaticS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